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83.46456692913375" w:right="-324.330708661416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CONSELHO UNIVERSITÁRIO (CONSU) DO UNICESUSC TEM NOVA COMPOSIÇÃO</w:t>
      </w:r>
    </w:p>
    <w:p w:rsidR="00000000" w:rsidDel="00000000" w:rsidP="00000000" w:rsidRDefault="00000000" w:rsidRPr="00000000" w14:paraId="00000002">
      <w:pPr>
        <w:ind w:left="0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0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nova composição do CONSU, definida de acordo com os processos eleitorais realizados e a indicação de membros pelo Reitor do UNICESUSC, ficou assim definida: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Reitor: Mauricio Pereira Gomes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Representantes da Mantenedora: Prudente José Silveira Mello e Susan Mara Zilli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Pró-reitora Financeira: Juliana Tatiane Vital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Pró-reitora Acadêmica: Juliana Cristina Gallas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Coordenação do Curso de Psicologia: Karen Rayany Ródio Trevisan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Coordenação do Curso de Administração e dos Cursos Ead (Gestão Comercial e Gestão de Recursos Humanos): Vicente Moreira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Coordenação do Curso de Marketing: Ana Bárbara Silveira Mendonça Santos Dias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Coordenação do Curso de Produção Multimídia: Rafael Garcia Motta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Coordenação do Curso de Direito: Christiane Heloisa Kalb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Coordenação dos Cursos de Arquitetura e Urbanismo: Pery Segala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Coordenação do Curso de Análise e Desenvolvimento de Sistemas: Sérgio Murilo Schutz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Coordenação do Curso de Nutrição: Liliana Paula Bricarello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Coordenação dos Cursos de Pós-Graduação e de Inovação, Carreira e Mercado: Maria Helena Krüger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Coordenadora do Pró-Comunidade: Claudia Lazcano Vázquez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Representantes do Corpo Docente: Lucas Reis da Silva (titular) e Juliana Ribeiro Goulart (suplente), e Marcos Vinícius Ferreira Corrêa (titular) e Gabriela Jacinto Barbosa (suplente).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Representante do Corpo Discente: Ana Júlia Korndorfer (titular) </w:t>
      </w:r>
      <w:r w:rsidDel="00000000" w:rsidR="00000000" w:rsidRPr="00000000">
        <w:rPr>
          <w:sz w:val="24"/>
          <w:szCs w:val="24"/>
          <w:rtl w:val="0"/>
        </w:rPr>
        <w:t xml:space="preserve">e Evelin</w:t>
      </w:r>
      <w:r w:rsidDel="00000000" w:rsidR="00000000" w:rsidRPr="00000000">
        <w:rPr>
          <w:sz w:val="24"/>
          <w:szCs w:val="24"/>
          <w:rtl w:val="0"/>
        </w:rPr>
        <w:t xml:space="preserve"> Nazário (suplente) e Simone Sommer Ozorio (titular) e Analice Junia Gomes (suplente).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Representante do Corpo de Tutores: Ingrid Aparecida de Lima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Representante do Corpo Técnico-Administrativo: Scheila Francielle Pereira (titular) e Christian da Silva Magalhães (suplente) e Indianara Bianqueto Fogaça (titular) e Joice Cristina Santos (suplente).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76" w:lineRule="auto"/>
        <w:ind w:left="720" w:right="-324.3307086614169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Representante da Comunidade: Nelson Brum Motta</w:t>
      </w:r>
    </w:p>
    <w:p w:rsidR="00000000" w:rsidDel="00000000" w:rsidP="00000000" w:rsidRDefault="00000000" w:rsidRPr="00000000" w14:paraId="00000017">
      <w:pPr>
        <w:spacing w:after="0" w:line="276" w:lineRule="auto"/>
        <w:ind w:left="720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324.330708661416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CONSU é a instância máxima de deliberação institucional, responsável pelos assuntos acadêmicos-administrativos de natureza consultiva, deliberativa, normativa e recursal do Centro Universitário, sendo composto por: Representantes da Mantenedora; Reitor; Pró-Reitora Acadêmica e Pró-Reitora Financeira; Coordenadores de Cursos; Coordenadores das áreas de Educação a Distância, Pós-graduação e de Inovação, Carreira e Mercado e Pró-Comunidade.</w:t>
      </w:r>
    </w:p>
    <w:p w:rsidR="00000000" w:rsidDel="00000000" w:rsidP="00000000" w:rsidRDefault="00000000" w:rsidRPr="00000000" w14:paraId="00000019">
      <w:pPr>
        <w:ind w:right="-324.330708661416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324.330708661416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Integram o Conselho, também, outros segmentos da Comunidade Acadêmica: representantes dos Corpos Docente, Discente, Técnico-Administrativo, dos Tutores, além de um representante da Comunidade Externa.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160" w:line="259" w:lineRule="auto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-1408</wp:posOffset>
          </wp:positionH>
          <wp:positionV relativeFrom="page">
            <wp:posOffset>0</wp:posOffset>
          </wp:positionV>
          <wp:extent cx="7558088" cy="1453922"/>
          <wp:effectExtent b="0" l="0" r="0" t="0"/>
          <wp:wrapTopAndBottom distB="0" dist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75" r="373" t="0"/>
                  <a:stretch>
                    <a:fillRect/>
                  </a:stretch>
                </pic:blipFill>
                <pic:spPr>
                  <a:xfrm>
                    <a:off x="0" y="0"/>
                    <a:ext cx="7558088" cy="14539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QeJ7kzG+4YFRilkP0yEX0+vCA==">CgMxLjA4AHIhMVZzN1BfX0tMODllNFZ5UVgzX2pzNFBKMUU0MFZCNmhT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